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7045" w:rsidRDefault="00DA4E58">
      <w:pPr>
        <w:tabs>
          <w:tab w:val="left" w:pos="2447"/>
          <w:tab w:val="left" w:pos="3882"/>
          <w:tab w:val="left" w:pos="8039"/>
        </w:tabs>
        <w:ind w:left="214"/>
        <w:rPr>
          <w:rFonts w:ascii="Times New Roman"/>
          <w:sz w:val="20"/>
        </w:rPr>
      </w:pPr>
      <w:r>
        <w:rPr>
          <w:rFonts w:ascii="Times New Roman"/>
          <w:noProof/>
          <w:sz w:val="20"/>
        </w:rPr>
        <w:drawing>
          <wp:inline distT="0" distB="0" distL="0" distR="0">
            <wp:extent cx="1212271" cy="6900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212271" cy="690086"/>
                    </a:xfrm>
                    <a:prstGeom prst="rect">
                      <a:avLst/>
                    </a:prstGeom>
                  </pic:spPr>
                </pic:pic>
              </a:graphicData>
            </a:graphic>
          </wp:inline>
        </w:drawing>
      </w:r>
      <w:r>
        <w:rPr>
          <w:rFonts w:ascii="Times New Roman"/>
          <w:sz w:val="20"/>
        </w:rPr>
        <w:tab/>
      </w:r>
      <w:r>
        <w:rPr>
          <w:noProof/>
        </w:rPr>
        <w:drawing>
          <wp:inline distT="0" distB="0" distL="0" distR="0">
            <wp:extent cx="664076" cy="688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664076" cy="688085"/>
                    </a:xfrm>
                    <a:prstGeom prst="rect">
                      <a:avLst/>
                    </a:prstGeom>
                  </pic:spPr>
                </pic:pic>
              </a:graphicData>
            </a:graphic>
          </wp:inline>
        </w:drawing>
      </w:r>
      <w:r>
        <w:rPr>
          <w:rFonts w:ascii="Times New Roman"/>
          <w:sz w:val="20"/>
        </w:rPr>
        <w:tab/>
      </w:r>
      <w:r>
        <w:rPr>
          <w:noProof/>
        </w:rPr>
        <w:drawing>
          <wp:inline distT="0" distB="0" distL="0" distR="0">
            <wp:extent cx="1169667" cy="24917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1169667" cy="249174"/>
                    </a:xfrm>
                    <a:prstGeom prst="rect">
                      <a:avLst/>
                    </a:prstGeom>
                  </pic:spPr>
                </pic:pic>
              </a:graphicData>
            </a:graphic>
          </wp:inline>
        </w:drawing>
      </w:r>
      <w:r>
        <w:rPr>
          <w:rFonts w:ascii="Times New Roman"/>
          <w:sz w:val="20"/>
        </w:rPr>
        <w:t xml:space="preserve"> </w:t>
      </w:r>
      <w:r>
        <w:rPr>
          <w:noProof/>
        </w:rPr>
        <w:drawing>
          <wp:inline distT="0" distB="0" distL="0" distR="0">
            <wp:extent cx="1111177" cy="280987"/>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1111177" cy="280987"/>
                    </a:xfrm>
                    <a:prstGeom prst="rect">
                      <a:avLst/>
                    </a:prstGeom>
                  </pic:spPr>
                </pic:pic>
              </a:graphicData>
            </a:graphic>
          </wp:inline>
        </w:drawing>
      </w:r>
      <w:r>
        <w:rPr>
          <w:rFonts w:ascii="Times New Roman"/>
          <w:sz w:val="20"/>
        </w:rPr>
        <w:tab/>
      </w:r>
      <w:r>
        <w:rPr>
          <w:noProof/>
        </w:rPr>
        <w:drawing>
          <wp:inline distT="0" distB="0" distL="0" distR="0">
            <wp:extent cx="688437" cy="6629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9" cstate="print"/>
                    <a:stretch>
                      <a:fillRect/>
                    </a:stretch>
                  </pic:blipFill>
                  <pic:spPr>
                    <a:xfrm>
                      <a:off x="0" y="0"/>
                      <a:ext cx="688437" cy="662940"/>
                    </a:xfrm>
                    <a:prstGeom prst="rect">
                      <a:avLst/>
                    </a:prstGeom>
                  </pic:spPr>
                </pic:pic>
              </a:graphicData>
            </a:graphic>
          </wp:inline>
        </w:drawing>
      </w:r>
    </w:p>
    <w:p w:rsidR="00DC7045" w:rsidRDefault="00DC7045">
      <w:pPr>
        <w:pStyle w:val="Corpsdetexte"/>
        <w:spacing w:before="9"/>
        <w:rPr>
          <w:rFonts w:ascii="Times New Roman"/>
          <w:sz w:val="27"/>
        </w:rPr>
      </w:pPr>
    </w:p>
    <w:p w:rsidR="00DC7045" w:rsidRDefault="00DA4E58">
      <w:pPr>
        <w:pStyle w:val="Corpsdetexte"/>
        <w:spacing w:before="100"/>
        <w:ind w:left="213"/>
      </w:pPr>
      <w:r>
        <w:rPr>
          <w:color w:val="595959"/>
        </w:rPr>
        <w:t>DESENVOLVIMENTO DE CAPACIDADES DE ELABORAÇÃO DE LEIS E POLÍTICAS SOBRE DESLOCAÇÕES INTERNAS</w:t>
      </w:r>
    </w:p>
    <w:p w:rsidR="00DC7045" w:rsidRDefault="00DC7045">
      <w:pPr>
        <w:pStyle w:val="Corpsdetexte"/>
        <w:rPr>
          <w:sz w:val="28"/>
        </w:rPr>
      </w:pPr>
    </w:p>
    <w:p w:rsidR="00DC7045" w:rsidRDefault="00DC7045">
      <w:pPr>
        <w:pStyle w:val="Corpsdetexte"/>
        <w:rPr>
          <w:sz w:val="28"/>
        </w:rPr>
      </w:pPr>
    </w:p>
    <w:p w:rsidR="00DC7045" w:rsidRDefault="00DC7045">
      <w:pPr>
        <w:pStyle w:val="Corpsdetexte"/>
        <w:spacing w:before="6"/>
        <w:rPr>
          <w:sz w:val="25"/>
        </w:rPr>
      </w:pPr>
    </w:p>
    <w:p w:rsidR="00DC7045" w:rsidRDefault="00DA4E58" w:rsidP="005508D7">
      <w:pPr>
        <w:pStyle w:val="Titre"/>
      </w:pPr>
      <w:r>
        <w:rPr>
          <w:color w:val="5B9BD5"/>
        </w:rPr>
        <w:t>SESSÃO 2: ABORDAGEM ÀS DESLOCAÇÕES COM BASE NOS DIREITOS HUMANOS</w:t>
      </w:r>
    </w:p>
    <w:p w:rsidR="00DC7045" w:rsidRDefault="00DC7045">
      <w:pPr>
        <w:pStyle w:val="Corpsdetexte"/>
        <w:rPr>
          <w:sz w:val="20"/>
        </w:rPr>
      </w:pPr>
    </w:p>
    <w:p w:rsidR="00DC7045" w:rsidRDefault="00C458F2">
      <w:pPr>
        <w:pStyle w:val="Corpsdetexte"/>
        <w:rPr>
          <w:sz w:val="21"/>
        </w:rPr>
      </w:pPr>
      <w:r>
        <w:pict>
          <v:group id="_x0000_s1074" style="position:absolute;margin-left:65.4pt;margin-top:2.85pt;width:90.5pt;height:531.9pt;z-index:15728640;mso-position-horizontal-relative:page" coordorigin="1308,-199" coordsize="1810,9500">
            <v:shape id="_x0000_s1076" style="position:absolute;left:1308;top:-199;width:1810;height:9500" coordorigin="1308,-199" coordsize="1810,9500" path="m3118,-199r-1810,l1308,392r,8909l3118,9301r,-8909l3118,-199xe" fillcolor="#deeaf6" stroked="f">
              <v:path arrowok="t"/>
            </v:shape>
            <v:shapetype id="_x0000_t202" coordsize="21600,21600" o:spt="202" path="m,l,21600r21600,l21600,xe">
              <v:stroke joinstyle="miter"/>
              <v:path gradientshapeok="t" o:connecttype="rect"/>
            </v:shapetype>
            <v:shape id="_x0000_s1075" type="#_x0000_t202" style="position:absolute;left:1308;top:-199;width:1810;height:9500" filled="f" stroked="f">
              <v:textbox inset="0,0,0,0">
                <w:txbxContent>
                  <w:p w:rsidR="00DC7045" w:rsidRDefault="00DC7045">
                    <w:pPr>
                      <w:spacing w:before="1"/>
                    </w:pPr>
                  </w:p>
                  <w:p w:rsidR="00DC7045" w:rsidRDefault="00DA4E58">
                    <w:pPr>
                      <w:spacing w:before="1"/>
                      <w:ind w:left="105"/>
                      <w:rPr>
                        <w:sz w:val="21"/>
                      </w:rPr>
                    </w:pPr>
                    <w:r>
                      <w:rPr>
                        <w:sz w:val="21"/>
                      </w:rPr>
                      <w:t>HORA</w:t>
                    </w:r>
                  </w:p>
                  <w:p w:rsidR="00DC7045" w:rsidRDefault="00DC7045">
                    <w:pPr>
                      <w:spacing w:before="4"/>
                      <w:rPr>
                        <w:sz w:val="27"/>
                      </w:rPr>
                    </w:pPr>
                  </w:p>
                  <w:p w:rsidR="00DC7045" w:rsidRDefault="00DA4E58">
                    <w:pPr>
                      <w:ind w:left="105"/>
                      <w:rPr>
                        <w:sz w:val="21"/>
                      </w:rPr>
                    </w:pPr>
                    <w:r>
                      <w:rPr>
                        <w:sz w:val="21"/>
                      </w:rPr>
                      <w:t>RESUMO</w:t>
                    </w:r>
                  </w:p>
                </w:txbxContent>
              </v:textbox>
            </v:shape>
            <w10:wrap anchorx="page"/>
          </v:group>
        </w:pict>
      </w:r>
    </w:p>
    <w:p w:rsidR="00DC7045" w:rsidRDefault="005508D7">
      <w:pPr>
        <w:pStyle w:val="Corpsdetexte"/>
        <w:ind w:left="2023"/>
      </w:pPr>
      <w:r>
        <w:t>60 minutos</w:t>
      </w:r>
    </w:p>
    <w:p w:rsidR="00DC7045" w:rsidRDefault="00DC7045">
      <w:pPr>
        <w:pStyle w:val="Corpsdetexte"/>
        <w:spacing w:before="4"/>
      </w:pPr>
    </w:p>
    <w:p w:rsidR="00DC7045" w:rsidRDefault="00DA4E58">
      <w:pPr>
        <w:pStyle w:val="Corpsdetexte"/>
        <w:ind w:left="2023" w:right="147"/>
        <w:jc w:val="both"/>
      </w:pPr>
      <w:r>
        <w:t>Esta sessão analisa as principais fontes da lei aplicáveis às deslocações internas. Utilizar uma abordagem com base nos direitos humanos para abordar o fenómeno é fundamental para o desenvolvimento de leis e políticas que visam assegurar que os direitos das PDI são respeitados, protegidos e cumpridos.</w:t>
      </w:r>
    </w:p>
    <w:p w:rsidR="00DC7045" w:rsidRDefault="00DA4E58">
      <w:pPr>
        <w:pStyle w:val="Corpsdetexte"/>
        <w:spacing w:before="201"/>
        <w:ind w:left="2023" w:right="147"/>
        <w:jc w:val="both"/>
      </w:pPr>
      <w:r>
        <w:t>As disposições nos vários instrumentos legais internacionais são relevantes. Os Princípios Orientadores reafirmam as normas do direito internacional dos direitos humanos (DIDH) e do DIH, reiterando a sua validade e ilustrando a sua relevância para as PDI. Recentemente, os quadros regionais e sub-regionais, sobretudo a Convenção de Kampala, reforçaram o regime de proteção para as PDI e definiram obrigações mais claras para os estados e outros envolvidos na resposta à deslocação.</w:t>
      </w:r>
    </w:p>
    <w:p w:rsidR="00DC7045" w:rsidRDefault="00DA4E58">
      <w:pPr>
        <w:pStyle w:val="Corpsdetexte"/>
        <w:spacing w:before="201"/>
        <w:ind w:left="2023" w:right="224"/>
      </w:pPr>
      <w:r>
        <w:t>Introduzidos pela primeira vez na ONU em 1998, os Princípios Orientadores tornaram-se na base de leis e políticas em muitos países. Não são legalmente vinculativos, mas as autoridades nacionais utilizaram diferentes métodos para traduzir as suas disposições para as suas normas nacionais. Desde 1998 que foram adotados leis, políticas, planos, decretos, quadros e protocolos para regulamentar, no seu todo ou em parte, os aspetos da deslocação.</w:t>
      </w:r>
    </w:p>
    <w:p w:rsidR="00DC7045" w:rsidRDefault="00DA4E58">
      <w:pPr>
        <w:pStyle w:val="Corpsdetexte"/>
        <w:spacing w:before="195"/>
        <w:ind w:left="2023" w:right="344"/>
      </w:pPr>
      <w:r>
        <w:t>A Convenção de Kampala é o primeiro instrumento vinculativo do mundo sobre deslocações internas. Foi adotada pela União Africana (UA) em outubro de 2009 e entrou em vigor em dezembro de 2012. Até à data foi ratificada por 24 dos 54 estados-membros da UA, mas muitos países ainda têm de a nacionalizar e lançar as bases para a sua implementação.</w:t>
      </w:r>
    </w:p>
    <w:p w:rsidR="00DC7045" w:rsidRDefault="00DA4E58">
      <w:pPr>
        <w:pStyle w:val="Corpsdetexte"/>
        <w:spacing w:before="201"/>
        <w:ind w:left="2023" w:right="492"/>
      </w:pPr>
      <w:r>
        <w:t>Existem apenas duas formas de os estados poderem cumprir as suas obrigações legais ao abrigo dos tratados regionais ou internacionais - cumprindo ou respeitando as leis nacionais, mantendo-as ou integrando-as nos seus quadros legais ou políticos nacionais, isto é, nacionalizando-as.</w:t>
      </w:r>
    </w:p>
    <w:p w:rsidR="00DC7045" w:rsidRDefault="00DC7045">
      <w:pPr>
        <w:sectPr w:rsidR="00DC7045">
          <w:type w:val="continuous"/>
          <w:pgSz w:w="11900" w:h="16820"/>
          <w:pgMar w:top="700" w:right="1480" w:bottom="280" w:left="1200" w:header="708" w:footer="708" w:gutter="0"/>
          <w:cols w:space="708"/>
        </w:sectPr>
      </w:pPr>
    </w:p>
    <w:p w:rsidR="00DC7045" w:rsidRDefault="00B9028B">
      <w:pPr>
        <w:pStyle w:val="Corpsdetexte"/>
        <w:rPr>
          <w:sz w:val="20"/>
        </w:rPr>
      </w:pPr>
      <w:r>
        <w:lastRenderedPageBreak/>
        <w:pict>
          <v:group id="_x0000_s1071" style="position:absolute;margin-left:65.4pt;margin-top:70.7pt;width:90.5pt;height:727.2pt;z-index:15729664;mso-position-horizontal-relative:page;mso-position-vertical-relative:page" coordorigin="1308,1414" coordsize="1810,13916">
            <v:shape id="_x0000_s1073" style="position:absolute;left:1308;top:1413;width:1810;height:13916" coordorigin="1308,1414" coordsize="1810,13916" path="m3118,1414r-1810,l1308,5590r,3052l1308,13356r,1973l3118,15329r,-1973l3118,8642r,-3052l3118,1414xe" fillcolor="#deeaf6" stroked="f">
              <v:path arrowok="t"/>
            </v:shape>
            <v:shape id="_x0000_s1072" type="#_x0000_t202" style="position:absolute;left:1308;top:1413;width:1810;height:13916" filled="f" stroked="f">
              <v:textbox inset="0,0,0,0">
                <w:txbxContent>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spacing w:before="3"/>
                      <w:rPr>
                        <w:sz w:val="26"/>
                      </w:rPr>
                    </w:pPr>
                  </w:p>
                  <w:p w:rsidR="00DC7045" w:rsidRDefault="00DA4E58">
                    <w:pPr>
                      <w:ind w:left="105"/>
                      <w:rPr>
                        <w:sz w:val="21"/>
                      </w:rPr>
                    </w:pPr>
                    <w:r>
                      <w:rPr>
                        <w:sz w:val="21"/>
                      </w:rPr>
                      <w:t>OBJETIVOS</w:t>
                    </w: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spacing w:before="1"/>
                      <w:rPr>
                        <w:sz w:val="21"/>
                      </w:rPr>
                    </w:pPr>
                  </w:p>
                  <w:p w:rsidR="00D91C7F" w:rsidRDefault="00D91C7F">
                    <w:pPr>
                      <w:spacing w:before="1"/>
                      <w:rPr>
                        <w:sz w:val="21"/>
                      </w:rPr>
                    </w:pPr>
                  </w:p>
                  <w:p w:rsidR="00D91C7F" w:rsidRDefault="00D91C7F">
                    <w:pPr>
                      <w:spacing w:before="1"/>
                      <w:rPr>
                        <w:sz w:val="21"/>
                      </w:rPr>
                    </w:pPr>
                  </w:p>
                  <w:p w:rsidR="00DC7045" w:rsidRDefault="00DA4E58">
                    <w:pPr>
                      <w:ind w:left="105"/>
                      <w:rPr>
                        <w:sz w:val="21"/>
                      </w:rPr>
                    </w:pPr>
                    <w:r>
                      <w:rPr>
                        <w:sz w:val="21"/>
                      </w:rPr>
                      <w:t>PRINCIPAIS MENSAGENS</w:t>
                    </w: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spacing w:before="1"/>
                      <w:rPr>
                        <w:sz w:val="27"/>
                      </w:rPr>
                    </w:pPr>
                  </w:p>
                  <w:p w:rsidR="00DC7045" w:rsidRDefault="00DA4E58">
                    <w:pPr>
                      <w:spacing w:before="1" w:line="252" w:lineRule="auto"/>
                      <w:ind w:left="105" w:right="125"/>
                      <w:rPr>
                        <w:sz w:val="21"/>
                      </w:rPr>
                    </w:pPr>
                    <w:r>
                      <w:rPr>
                        <w:sz w:val="21"/>
                      </w:rPr>
                      <w:t>DOCUMENTAÇÃO</w:t>
                    </w:r>
                  </w:p>
                </w:txbxContent>
              </v:textbox>
            </v:shape>
            <w10:wrap anchorx="page" anchory="page"/>
          </v:group>
        </w:pict>
      </w:r>
    </w:p>
    <w:p w:rsidR="00DC7045" w:rsidRDefault="00DC7045">
      <w:pPr>
        <w:pStyle w:val="Corpsdetexte"/>
        <w:spacing w:after="1"/>
        <w:rPr>
          <w:sz w:val="14"/>
        </w:rPr>
      </w:pPr>
    </w:p>
    <w:p w:rsidR="00DC7045" w:rsidRDefault="00B9028B">
      <w:pPr>
        <w:pStyle w:val="Corpsdetexte"/>
        <w:ind w:left="2067"/>
        <w:rPr>
          <w:sz w:val="20"/>
        </w:rPr>
      </w:pPr>
      <w:r>
        <w:rPr>
          <w:sz w:val="20"/>
        </w:rPr>
      </w:r>
      <w:r>
        <w:rPr>
          <w:sz w:val="20"/>
        </w:rPr>
        <w:pict>
          <v:group id="_x0000_s1029" style="width:345.6pt;height:159.7pt;mso-position-horizontal-relative:char;mso-position-vertical-relative:line" coordsize="6912,3194">
            <v:shape id="_x0000_s1070" style="position:absolute;left:2778;top:612;width:2020;height:539" coordorigin="2779,612" coordsize="2020,539" path="m2779,612r,358l4799,970r,181e" filled="f" strokecolor="#4d7aa7" strokeweight=".31986mm">
              <v:path arrowok="t"/>
            </v:shape>
            <v:shape id="_x0000_s1069" style="position:absolute;left:2778;top:612;width:3;height:539" coordorigin="2779,612" coordsize="3,539" path="m2779,612r,358l2781,970r,181e" filled="f" strokecolor="#4d7aa7" strokeweight=".31986mm">
              <v:path arrowok="t"/>
            </v:shape>
            <v:shape id="_x0000_s1068" style="position:absolute;left:763;top:612;width:2015;height:539" coordorigin="764,612" coordsize="2015,539" path="m2779,612r,358l764,970r,181e" filled="f" strokecolor="#4d7aa7" strokeweight=".31986mm">
              <v:path arrowok="t"/>
            </v:shape>
            <v:shape id="_x0000_s1067" style="position:absolute;left:12;top:1151;width:1504;height:779" coordorigin="12,1151" coordsize="1504,779" path="m1516,1151r-1504,l12,1757r,173l1516,1930r,-173l1516,1151xe" fillcolor="#faa757" stroked="f">
              <v:path arrowok="t"/>
            </v:shape>
            <v:rect id="_x0000_s1066" style="position:absolute;left:12;top:1151;width:1504;height:779" filled="f" strokecolor="#c4803f" strokeweight=".42647mm"/>
            <v:rect id="_x0000_s1065" style="position:absolute;left:312;top:1756;width:1354;height:260" stroked="f">
              <v:fill opacity="59113f"/>
            </v:rect>
            <v:rect id="_x0000_s1064" style="position:absolute;left:312;top:1756;width:1354;height:260" filled="f" strokecolor="#6095c9" strokeweight=".31986mm"/>
            <v:shape id="_x0000_s1063" style="position:absolute;left:2029;top:1151;width:1504;height:779" coordorigin="2029,1151" coordsize="1504,779" path="m3533,1151r-1504,l2029,1757r,173l3533,1930r,-173l3533,1151xe" fillcolor="#faa757" stroked="f">
              <v:path arrowok="t"/>
            </v:shape>
            <v:rect id="_x0000_s1062" style="position:absolute;left:2029;top:1151;width:1504;height:779" filled="f" strokecolor="#c4803f" strokeweight=".42647mm"/>
            <v:rect id="_x0000_s1061" style="position:absolute;left:2330;top:1756;width:1354;height:260" stroked="f">
              <v:fill opacity="59113f"/>
            </v:rect>
            <v:rect id="_x0000_s1060" style="position:absolute;left:2330;top:1756;width:1354;height:260" filled="f" strokecolor="#6095c9" strokeweight=".31986mm"/>
            <v:shape id="_x0000_s1059" style="position:absolute;left:4046;top:1151;width:1504;height:779" coordorigin="4047,1151" coordsize="1504,779" path="m5551,1151r-1504,l4047,1757r,173l5551,1930r,-173l5551,1151xe" fillcolor="#faa757" stroked="f">
              <v:fill opacity="38037f"/>
              <v:path arrowok="t"/>
            </v:shape>
            <v:rect id="_x0000_s1058" style="position:absolute;left:4046;top:1151;width:1504;height:779" filled="f" strokecolor="#c4803f" strokeweight=".42647mm"/>
            <v:rect id="_x0000_s1057" style="position:absolute;left:4347;top:1756;width:1354;height:260" stroked="f">
              <v:fill opacity="59113f"/>
            </v:rect>
            <v:rect id="_x0000_s1056" style="position:absolute;left:4347;top:1756;width:1354;height:260" filled="f" strokecolor="#6095c9" strokeweight=".31986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left:3618;top:1322;width:508;height:798">
              <v:imagedata r:id="rId10" o:title=""/>
            </v:shape>
            <v:shape id="_x0000_s1054" type="#_x0000_t75" style="position:absolute;left:3714;top:1387;width:314;height:633">
              <v:imagedata r:id="rId11" o:title=""/>
            </v:shape>
            <v:shape id="_x0000_s1053" style="position:absolute;left:3714;top:1387;width:314;height:633" coordorigin="3715,1388" coordsize="314,633" path="m3715,1863r78,l3793,1388r157,l3950,1863r78,l3872,2020,3715,1863xe" filled="f" strokecolor="#5b92c7" strokeweight=".31986mm">
              <v:path arrowok="t"/>
            </v:shape>
            <v:shape id="_x0000_s1052" type="#_x0000_t75" style="position:absolute;left:4506;top:2138;width:798;height:508">
              <v:imagedata r:id="rId12" o:title=""/>
            </v:shape>
            <v:shape id="_x0000_s1051" type="#_x0000_t75" style="position:absolute;left:4586;top:2219;width:633;height:314">
              <v:imagedata r:id="rId13" o:title=""/>
            </v:shape>
            <v:shape id="_x0000_s1050" style="position:absolute;left:4586;top:2219;width:633;height:314" coordorigin="4587,2220" coordsize="633,314" path="m5063,2533r,-79l4587,2454r,-156l5063,2298r,-78l5219,2376r-156,157xe" filled="f" strokecolor="#5b92c7" strokeweight=".31986mm">
              <v:path arrowok="t"/>
            </v:shape>
            <v:rect id="_x0000_s1049" style="position:absolute;left:1731;top:2222;width:2627;height:508" filled="f" strokecolor="#c4803f" strokeweight=".42647mm"/>
            <v:shape id="_x0000_s1048" style="position:absolute;left:1731;top:2222;width:2627;height:508" coordorigin="1732,2223" coordsize="2627,508" path="m4358,2223r-2626,l1732,2623r,107l4358,2730r,-107l4358,2223xe" fillcolor="#cd665f" stroked="f">
              <v:path arrowok="t"/>
            </v:shape>
            <v:rect id="_x0000_s1047" style="position:absolute;left:1731;top:2222;width:2627;height:508" filled="f" strokecolor="#9f4b46" strokeweight=".42647mm"/>
            <v:rect id="_x0000_s1046" style="position:absolute;left:3178;top:2622;width:1409;height:559" stroked="f"/>
            <v:rect id="_x0000_s1045" style="position:absolute;left:3178;top:2622;width:1409;height:559" filled="f" strokecolor="#6095c9" strokeweight=".42647mm"/>
            <v:shape id="_x0000_s1044" type="#_x0000_t75" style="position:absolute;left:5685;top:1104;width:943;height:816">
              <v:imagedata r:id="rId14" o:title=""/>
            </v:shape>
            <v:shape id="_x0000_s1043" type="#_x0000_t75" style="position:absolute;left:5757;top:1167;width:788;height:655">
              <v:imagedata r:id="rId15" o:title=""/>
            </v:shape>
            <v:shape id="_x0000_s1042" style="position:absolute;left:5757;top:1167;width:788;height:655" coordorigin="5758,1167" coordsize="788,655" path="m5824,1455r111,48l6007,1523r82,18l6179,1555r98,12l6381,1574r,-82l6545,1661r-164,160l6381,1739r-117,-9l6156,1717r-98,-18l5971,1679r-73,-24l5839,1629r-72,-59l5758,1538r,-165l5791,1314r94,-53l5951,1238r78,-20l6117,1200r96,-14l6318,1176r111,-7l6545,1167r,165l6429,1334r-111,7l6213,1351r-96,14l6029,1382r-78,21l5885,1426r-94,52l5766,1507r-8,31e" filled="f" strokecolor="#5b92c7" strokeweight=".31986mm">
              <v:path arrowok="t"/>
            </v:shape>
            <v:shape id="_x0000_s1041" type="#_x0000_t202" style="position:absolute;left:223;top:1290;width:1108;height:414" filled="f" stroked="f">
              <v:textbox inset="0,0,0,0">
                <w:txbxContent>
                  <w:p w:rsidR="00DC7045" w:rsidRDefault="00DA4E58">
                    <w:pPr>
                      <w:spacing w:line="413" w:lineRule="exact"/>
                      <w:rPr>
                        <w:sz w:val="34"/>
                      </w:rPr>
                    </w:pPr>
                    <w:r>
                      <w:rPr>
                        <w:color w:val="FFFFFF"/>
                        <w:sz w:val="34"/>
                      </w:rPr>
                      <w:t>Respeitar</w:t>
                    </w:r>
                  </w:p>
                </w:txbxContent>
              </v:textbox>
            </v:shape>
            <v:shape id="_x0000_s1040" type="#_x0000_t202" style="position:absolute;left:2279;top:1290;width:1030;height:414" filled="f" stroked="f">
              <v:textbox inset="0,0,0,0">
                <w:txbxContent>
                  <w:p w:rsidR="00DC7045" w:rsidRDefault="00DA4E58">
                    <w:pPr>
                      <w:spacing w:line="413" w:lineRule="exact"/>
                      <w:rPr>
                        <w:sz w:val="34"/>
                      </w:rPr>
                    </w:pPr>
                    <w:r>
                      <w:rPr>
                        <w:color w:val="FFFFFF"/>
                        <w:sz w:val="34"/>
                      </w:rPr>
                      <w:t>Proteger</w:t>
                    </w:r>
                  </w:p>
                </w:txbxContent>
              </v:textbox>
            </v:shape>
            <v:shape id="_x0000_s1039" type="#_x0000_t202" style="position:absolute;left:4467;top:1290;width:688;height:414" filled="f" stroked="f">
              <v:textbox inset="0,0,0,0">
                <w:txbxContent>
                  <w:p w:rsidR="00DC7045" w:rsidRDefault="00DA4E58">
                    <w:pPr>
                      <w:spacing w:line="413" w:lineRule="exact"/>
                      <w:rPr>
                        <w:sz w:val="34"/>
                      </w:rPr>
                    </w:pPr>
                    <w:r>
                      <w:rPr>
                        <w:color w:val="FFFFFF"/>
                        <w:sz w:val="34"/>
                      </w:rPr>
                      <w:t>Cumprir</w:t>
                    </w:r>
                  </w:p>
                </w:txbxContent>
              </v:textbox>
            </v:shape>
            <v:shape id="_x0000_s1038" type="#_x0000_t202" style="position:absolute;left:1833;top:2286;width:2745;height:811" filled="f" stroked="f">
              <v:textbox inset="0,0,0,0">
                <w:txbxContent>
                  <w:p w:rsidR="00DC7045" w:rsidRDefault="00DA4E58">
                    <w:pPr>
                      <w:spacing w:before="1"/>
                      <w:rPr>
                        <w:sz w:val="24"/>
                      </w:rPr>
                    </w:pPr>
                    <w:r>
                      <w:rPr>
                        <w:color w:val="FFFFFF"/>
                        <w:sz w:val="24"/>
                      </w:rPr>
                      <w:t>Transpor/nacionalizar</w:t>
                    </w:r>
                  </w:p>
                  <w:p w:rsidR="00DC7045" w:rsidRDefault="00DA4E58">
                    <w:pPr>
                      <w:spacing w:before="148" w:line="208" w:lineRule="auto"/>
                      <w:ind w:left="1703" w:right="-4" w:hanging="214"/>
                      <w:rPr>
                        <w:i/>
                        <w:sz w:val="17"/>
                      </w:rPr>
                    </w:pPr>
                    <w:r>
                      <w:rPr>
                        <w:i/>
                        <w:sz w:val="17"/>
                      </w:rPr>
                      <w:t>Incorporar numa lei nacional...</w:t>
                    </w:r>
                  </w:p>
                </w:txbxContent>
              </v:textbox>
            </v:shape>
            <v:shape id="_x0000_s1037" type="#_x0000_t202" style="position:absolute;left:5562;top:1765;width:130;height:164" filled="f" stroked="f">
              <v:textbox inset="0,0,0,0">
                <w:txbxContent>
                  <w:p w:rsidR="00DC7045" w:rsidRDefault="00DA4E58">
                    <w:pPr>
                      <w:spacing w:before="2" w:line="162" w:lineRule="exact"/>
                      <w:ind w:left="34"/>
                      <w:rPr>
                        <w:i/>
                        <w:sz w:val="20"/>
                      </w:rPr>
                    </w:pPr>
                    <w:r>
                      <w:rPr>
                        <w:i/>
                        <w:sz w:val="20"/>
                      </w:rPr>
                      <w:t>.</w:t>
                    </w:r>
                  </w:p>
                </w:txbxContent>
              </v:textbox>
            </v:shape>
            <v:shape id="_x0000_s1036" type="#_x0000_t202" style="position:absolute;left:4356;top:1765;width:1182;height:152" fillcolor="#faa757" stroked="f">
              <v:fill opacity="38037f"/>
              <v:textbox inset="0,0,0,0">
                <w:txbxContent>
                  <w:p w:rsidR="00DC7045" w:rsidRDefault="00DA4E58">
                    <w:pPr>
                      <w:spacing w:before="2" w:line="150" w:lineRule="exact"/>
                      <w:ind w:left="482" w:right="-72"/>
                      <w:rPr>
                        <w:i/>
                        <w:sz w:val="20"/>
                      </w:rPr>
                    </w:pPr>
                    <w:r>
                      <w:rPr>
                        <w:i/>
                        <w:sz w:val="20"/>
                      </w:rPr>
                      <w:t>… prevenir</w:t>
                    </w:r>
                  </w:p>
                </w:txbxContent>
              </v:textbox>
            </v:shape>
            <v:shape id="_x0000_s1035" type="#_x0000_t202" style="position:absolute;left:3545;top:1765;width:130;height:242" filled="f" stroked="f">
              <v:textbox inset="0,0,0,0">
                <w:txbxContent>
                  <w:p w:rsidR="00DC7045" w:rsidRDefault="00DA4E58">
                    <w:pPr>
                      <w:spacing w:before="2" w:line="239" w:lineRule="exact"/>
                      <w:ind w:left="34"/>
                      <w:rPr>
                        <w:i/>
                        <w:sz w:val="20"/>
                      </w:rPr>
                    </w:pPr>
                    <w:r>
                      <w:rPr>
                        <w:i/>
                        <w:sz w:val="20"/>
                      </w:rPr>
                      <w:t>.</w:t>
                    </w:r>
                  </w:p>
                </w:txbxContent>
              </v:textbox>
            </v:shape>
            <v:shape id="_x0000_s1034" type="#_x0000_t202" style="position:absolute;left:2339;top:1765;width:1182;height:152" fillcolor="#faa757" stroked="f">
              <v:textbox inset="0,0,0,0">
                <w:txbxContent>
                  <w:p w:rsidR="00DC7045" w:rsidRDefault="00DA4E58">
                    <w:pPr>
                      <w:spacing w:before="2" w:line="150" w:lineRule="exact"/>
                      <w:ind w:left="464" w:right="-72"/>
                      <w:rPr>
                        <w:i/>
                        <w:sz w:val="20"/>
                      </w:rPr>
                    </w:pPr>
                    <w:r>
                      <w:rPr>
                        <w:i/>
                        <w:sz w:val="20"/>
                      </w:rPr>
                      <w:t>… proibir</w:t>
                    </w:r>
                  </w:p>
                </w:txbxContent>
              </v:textbox>
            </v:shape>
            <v:shape id="_x0000_s1033" type="#_x0000_t202" style="position:absolute;left:334;top:1765;width:1169;height:152" fillcolor="#faa757" stroked="f">
              <v:textbox inset="0,0,0,0">
                <w:txbxContent>
                  <w:p w:rsidR="00DC7045" w:rsidRDefault="00DA4E58">
                    <w:pPr>
                      <w:spacing w:before="2" w:line="150" w:lineRule="exact"/>
                      <w:ind w:left="100" w:right="-130"/>
                      <w:rPr>
                        <w:i/>
                        <w:sz w:val="20"/>
                      </w:rPr>
                    </w:pPr>
                    <w:r>
                      <w:rPr>
                        <w:i/>
                        <w:sz w:val="20"/>
                      </w:rPr>
                      <w:t xml:space="preserve">… </w:t>
                    </w:r>
                    <w:r>
                      <w:rPr>
                        <w:i/>
                        <w:sz w:val="20"/>
                      </w:rPr>
                      <w:t>abster-se de</w:t>
                    </w:r>
                  </w:p>
                </w:txbxContent>
              </v:textbox>
            </v:shape>
            <v:shape id="_x0000_s1032" type="#_x0000_t202" style="position:absolute;left:325;top:12;width:4894;height:601" fillcolor="#faa757" strokecolor="#c4803f" strokeweight=".42647mm">
              <v:textbox inset="0,0,0,0">
                <w:txbxContent>
                  <w:p w:rsidR="00DC7045" w:rsidRDefault="00DA4E58">
                    <w:pPr>
                      <w:spacing w:before="2"/>
                      <w:ind w:left="547"/>
                      <w:rPr>
                        <w:sz w:val="40"/>
                      </w:rPr>
                    </w:pPr>
                    <w:r>
                      <w:rPr>
                        <w:color w:val="FFFFFF"/>
                        <w:sz w:val="40"/>
                      </w:rPr>
                      <w:t xml:space="preserve">Normas </w:t>
                    </w:r>
                    <w:r>
                      <w:rPr>
                        <w:color w:val="FFFFFF"/>
                        <w:sz w:val="40"/>
                      </w:rPr>
                      <w:t>internacionais</w:t>
                    </w:r>
                  </w:p>
                </w:txbxContent>
              </v:textbox>
            </v:shape>
            <v:shape id="_x0000_s1031" type="#_x0000_t202" style="position:absolute;left:5425;top:2229;width:1474;height:508" fillcolor="#937ab2" strokecolor="#705c89" strokeweight=".42647mm">
              <v:textbox inset="0,0,0,0">
                <w:txbxContent>
                  <w:p w:rsidR="00DC7045" w:rsidRDefault="00DA4E58">
                    <w:pPr>
                      <w:spacing w:before="53"/>
                      <w:ind w:left="188"/>
                      <w:rPr>
                        <w:sz w:val="24"/>
                      </w:rPr>
                    </w:pPr>
                    <w:r>
                      <w:rPr>
                        <w:color w:val="FFFFFF"/>
                        <w:sz w:val="24"/>
                      </w:rPr>
                      <w:t>Implementar</w:t>
                    </w:r>
                  </w:p>
                </w:txbxContent>
              </v:textbox>
            </v:shape>
            <v:shape id="_x0000_s1030" type="#_x0000_t202" style="position:absolute;left:5219;top:740;width:1354;height:260" filled="f" strokecolor="#6095c9" strokeweight=".42647mm">
              <v:textbox inset="0,0,0,0">
                <w:txbxContent>
                  <w:p w:rsidR="00DC7045" w:rsidRDefault="00DA4E58">
                    <w:pPr>
                      <w:spacing w:before="15"/>
                      <w:ind w:left="71"/>
                      <w:rPr>
                        <w:i/>
                        <w:sz w:val="17"/>
                      </w:rPr>
                    </w:pPr>
                    <w:r>
                      <w:rPr>
                        <w:i/>
                        <w:sz w:val="17"/>
                      </w:rPr>
                      <w:t>DIH, LDH, DPI, LIRC</w:t>
                    </w:r>
                  </w:p>
                </w:txbxContent>
              </v:textbox>
            </v:shape>
            <w10:wrap type="none"/>
            <w10:anchorlock/>
          </v:group>
        </w:pict>
      </w:r>
    </w:p>
    <w:p w:rsidR="00DC7045" w:rsidRDefault="00DC7045">
      <w:pPr>
        <w:pStyle w:val="Corpsdetexte"/>
        <w:rPr>
          <w:sz w:val="20"/>
        </w:rPr>
      </w:pPr>
    </w:p>
    <w:p w:rsidR="00DC7045" w:rsidRDefault="00DC7045">
      <w:pPr>
        <w:pStyle w:val="Corpsdetexte"/>
        <w:rPr>
          <w:sz w:val="20"/>
        </w:rPr>
      </w:pPr>
    </w:p>
    <w:p w:rsidR="00DC7045" w:rsidRDefault="00DA4E58">
      <w:pPr>
        <w:pStyle w:val="Corpsdetexte"/>
        <w:spacing w:before="239"/>
        <w:ind w:left="2003" w:right="1719"/>
        <w:jc w:val="center"/>
      </w:pPr>
      <w:r>
        <w:t>No final da sessão, os participantes deverão ser capazes de:</w:t>
      </w:r>
    </w:p>
    <w:p w:rsidR="00DC7045" w:rsidRDefault="00DA4E58">
      <w:pPr>
        <w:pStyle w:val="Paragraphedeliste"/>
        <w:numPr>
          <w:ilvl w:val="0"/>
          <w:numId w:val="1"/>
        </w:numPr>
        <w:tabs>
          <w:tab w:val="left" w:pos="2743"/>
          <w:tab w:val="left" w:pos="2744"/>
        </w:tabs>
        <w:spacing w:line="244" w:lineRule="auto"/>
        <w:ind w:right="147"/>
        <w:rPr>
          <w:sz w:val="24"/>
        </w:rPr>
      </w:pPr>
      <w:r>
        <w:rPr>
          <w:sz w:val="24"/>
        </w:rPr>
        <w:t>Descrever alguns dos instrumentos relevantes para a proteção e assistência às PDI.</w:t>
      </w:r>
    </w:p>
    <w:p w:rsidR="00DC7045" w:rsidRDefault="00DA4E58">
      <w:pPr>
        <w:pStyle w:val="Paragraphedeliste"/>
        <w:numPr>
          <w:ilvl w:val="0"/>
          <w:numId w:val="1"/>
        </w:numPr>
        <w:tabs>
          <w:tab w:val="left" w:pos="2743"/>
          <w:tab w:val="left" w:pos="2744"/>
          <w:tab w:val="left" w:pos="4019"/>
          <w:tab w:val="left" w:pos="4709"/>
          <w:tab w:val="left" w:pos="6015"/>
          <w:tab w:val="left" w:pos="6455"/>
          <w:tab w:val="left" w:pos="7114"/>
          <w:tab w:val="left" w:pos="7749"/>
          <w:tab w:val="left" w:pos="8594"/>
        </w:tabs>
        <w:spacing w:before="190"/>
        <w:ind w:right="148"/>
        <w:rPr>
          <w:sz w:val="24"/>
        </w:rPr>
      </w:pPr>
      <w:r>
        <w:rPr>
          <w:sz w:val="24"/>
        </w:rPr>
        <w:t>Determinar as obrigações legais para com as PDI que resultam dos instrumentos internacionais.</w:t>
      </w:r>
    </w:p>
    <w:p w:rsidR="00DC7045" w:rsidRDefault="00DA4E58">
      <w:pPr>
        <w:pStyle w:val="Paragraphedeliste"/>
        <w:numPr>
          <w:ilvl w:val="0"/>
          <w:numId w:val="1"/>
        </w:numPr>
        <w:tabs>
          <w:tab w:val="left" w:pos="2743"/>
          <w:tab w:val="left" w:pos="2744"/>
        </w:tabs>
        <w:spacing w:before="196"/>
        <w:ind w:hanging="361"/>
        <w:rPr>
          <w:sz w:val="24"/>
        </w:rPr>
      </w:pPr>
      <w:r>
        <w:rPr>
          <w:sz w:val="24"/>
        </w:rPr>
        <w:t>Reconhecer os direitos das PDI durante todas as fases da deslocação.</w:t>
      </w:r>
    </w:p>
    <w:p w:rsidR="00DC7045" w:rsidRDefault="00DC7045">
      <w:pPr>
        <w:pStyle w:val="Corpsdetexte"/>
        <w:rPr>
          <w:sz w:val="20"/>
        </w:rPr>
      </w:pPr>
    </w:p>
    <w:p w:rsidR="00DC7045" w:rsidRDefault="00DC7045">
      <w:pPr>
        <w:pStyle w:val="Corpsdetexte"/>
        <w:spacing w:before="10"/>
        <w:rPr>
          <w:sz w:val="28"/>
        </w:rPr>
      </w:pPr>
    </w:p>
    <w:p w:rsidR="00DC7045" w:rsidRDefault="00DA4E58">
      <w:pPr>
        <w:pStyle w:val="Paragraphedeliste"/>
        <w:numPr>
          <w:ilvl w:val="0"/>
          <w:numId w:val="1"/>
        </w:numPr>
        <w:tabs>
          <w:tab w:val="left" w:pos="2744"/>
        </w:tabs>
        <w:spacing w:before="100" w:line="242" w:lineRule="auto"/>
        <w:ind w:right="147"/>
        <w:jc w:val="both"/>
        <w:rPr>
          <w:sz w:val="24"/>
        </w:rPr>
      </w:pPr>
      <w:r>
        <w:rPr>
          <w:sz w:val="24"/>
        </w:rPr>
        <w:t>As normas legais internacionais sobre as deslocações internas são referências para as respostas dos estados às necessidades de proteção e assistência das PDI.</w:t>
      </w:r>
    </w:p>
    <w:p w:rsidR="00DC7045" w:rsidRDefault="00DA4E58">
      <w:pPr>
        <w:pStyle w:val="Paragraphedeliste"/>
        <w:numPr>
          <w:ilvl w:val="0"/>
          <w:numId w:val="1"/>
        </w:numPr>
        <w:tabs>
          <w:tab w:val="left" w:pos="2744"/>
        </w:tabs>
        <w:spacing w:before="192"/>
        <w:ind w:right="147"/>
        <w:jc w:val="both"/>
        <w:rPr>
          <w:sz w:val="24"/>
        </w:rPr>
      </w:pPr>
      <w:r>
        <w:rPr>
          <w:sz w:val="24"/>
        </w:rPr>
        <w:t>O DIDH, o direito internacional de resposta a catástrofes (DIRC) e o direito penal internacional (DPI) estipulam um quadro para a proteção e assistência às PDI.</w:t>
      </w:r>
    </w:p>
    <w:p w:rsidR="00DC7045" w:rsidRDefault="00DA4E58">
      <w:pPr>
        <w:pStyle w:val="Paragraphedeliste"/>
        <w:numPr>
          <w:ilvl w:val="0"/>
          <w:numId w:val="1"/>
        </w:numPr>
        <w:tabs>
          <w:tab w:val="left" w:pos="2744"/>
        </w:tabs>
        <w:spacing w:before="197" w:line="244" w:lineRule="auto"/>
        <w:ind w:right="147"/>
        <w:jc w:val="both"/>
        <w:rPr>
          <w:sz w:val="24"/>
        </w:rPr>
      </w:pPr>
      <w:r>
        <w:rPr>
          <w:sz w:val="24"/>
        </w:rPr>
        <w:t>Os estados são responsáveis pelo cumprimento das normas legais internacionais.</w:t>
      </w:r>
    </w:p>
    <w:p w:rsidR="00DC7045" w:rsidRDefault="00DA4E58">
      <w:pPr>
        <w:pStyle w:val="Paragraphedeliste"/>
        <w:numPr>
          <w:ilvl w:val="0"/>
          <w:numId w:val="1"/>
        </w:numPr>
        <w:tabs>
          <w:tab w:val="left" w:pos="2743"/>
          <w:tab w:val="left" w:pos="2744"/>
        </w:tabs>
        <w:spacing w:before="189"/>
        <w:ind w:hanging="361"/>
        <w:rPr>
          <w:sz w:val="24"/>
        </w:rPr>
      </w:pPr>
      <w:r>
        <w:rPr>
          <w:sz w:val="24"/>
        </w:rPr>
        <w:t>O DIH também estabelece obrigações para os grupos armados não estatais.</w:t>
      </w:r>
    </w:p>
    <w:p w:rsidR="00DC7045" w:rsidRDefault="00DA4E58">
      <w:pPr>
        <w:pStyle w:val="Paragraphedeliste"/>
        <w:numPr>
          <w:ilvl w:val="0"/>
          <w:numId w:val="1"/>
        </w:numPr>
        <w:tabs>
          <w:tab w:val="left" w:pos="2743"/>
          <w:tab w:val="left" w:pos="2744"/>
        </w:tabs>
        <w:spacing w:before="202"/>
        <w:ind w:right="1091"/>
        <w:rPr>
          <w:sz w:val="24"/>
        </w:rPr>
      </w:pPr>
      <w:r>
        <w:rPr>
          <w:sz w:val="24"/>
        </w:rPr>
        <w:t>Deve ser utilizada uma abordagem com base nos direitos humanos para o desenvolvimento de um instrumento nacional sobre as deslocações.</w:t>
      </w:r>
    </w:p>
    <w:p w:rsidR="00DC7045" w:rsidRDefault="00DC7045">
      <w:pPr>
        <w:pStyle w:val="Corpsdetexte"/>
        <w:rPr>
          <w:sz w:val="20"/>
        </w:rPr>
      </w:pPr>
    </w:p>
    <w:p w:rsidR="00DC7045" w:rsidRDefault="00DC7045">
      <w:pPr>
        <w:pStyle w:val="Corpsdetexte"/>
        <w:spacing w:before="4"/>
        <w:rPr>
          <w:sz w:val="28"/>
        </w:rPr>
      </w:pPr>
    </w:p>
    <w:p w:rsidR="00DC7045" w:rsidRDefault="00DA4E58">
      <w:pPr>
        <w:pStyle w:val="Paragraphedeliste"/>
        <w:numPr>
          <w:ilvl w:val="0"/>
          <w:numId w:val="1"/>
        </w:numPr>
        <w:tabs>
          <w:tab w:val="left" w:pos="2743"/>
          <w:tab w:val="left" w:pos="2744"/>
        </w:tabs>
        <w:spacing w:before="101"/>
        <w:ind w:hanging="361"/>
        <w:rPr>
          <w:sz w:val="24"/>
        </w:rPr>
      </w:pPr>
      <w:r>
        <w:rPr>
          <w:sz w:val="24"/>
        </w:rPr>
        <w:t>Princípios Orientadores Relativos aos Deslocados Internos, 1998.</w:t>
      </w:r>
    </w:p>
    <w:p w:rsidR="00DC7045" w:rsidRDefault="00DA4E58">
      <w:pPr>
        <w:pStyle w:val="Paragraphedeliste"/>
        <w:numPr>
          <w:ilvl w:val="0"/>
          <w:numId w:val="1"/>
        </w:numPr>
        <w:tabs>
          <w:tab w:val="left" w:pos="2743"/>
          <w:tab w:val="left" w:pos="2744"/>
        </w:tabs>
        <w:ind w:hanging="361"/>
        <w:rPr>
          <w:sz w:val="24"/>
        </w:rPr>
      </w:pPr>
      <w:r>
        <w:rPr>
          <w:sz w:val="24"/>
        </w:rPr>
        <w:t>Convenção de Kampala, 2009.</w:t>
      </w:r>
    </w:p>
    <w:p w:rsidR="00DC7045" w:rsidRDefault="00DA4E58">
      <w:pPr>
        <w:pStyle w:val="Paragraphedeliste"/>
        <w:numPr>
          <w:ilvl w:val="0"/>
          <w:numId w:val="1"/>
        </w:numPr>
        <w:tabs>
          <w:tab w:val="left" w:pos="2743"/>
          <w:tab w:val="left" w:pos="2744"/>
        </w:tabs>
        <w:ind w:hanging="361"/>
        <w:rPr>
          <w:sz w:val="24"/>
        </w:rPr>
      </w:pPr>
      <w:r>
        <w:rPr>
          <w:sz w:val="24"/>
        </w:rPr>
        <w:t>Convenções de Genebra e protocolos adicionais.</w:t>
      </w:r>
    </w:p>
    <w:p w:rsidR="00DC7045" w:rsidRDefault="00DC7045">
      <w:pPr>
        <w:rPr>
          <w:sz w:val="24"/>
        </w:rPr>
        <w:sectPr w:rsidR="00DC7045">
          <w:pgSz w:w="11900" w:h="16820"/>
          <w:pgMar w:top="1420" w:right="1480" w:bottom="280" w:left="1200" w:header="708" w:footer="708" w:gutter="0"/>
          <w:cols w:space="708"/>
        </w:sectPr>
      </w:pPr>
    </w:p>
    <w:p w:rsidR="00DC7045" w:rsidRDefault="00DA4E58" w:rsidP="00DA4E58">
      <w:pPr>
        <w:pStyle w:val="Paragraphedeliste"/>
        <w:numPr>
          <w:ilvl w:val="0"/>
          <w:numId w:val="1"/>
        </w:numPr>
        <w:tabs>
          <w:tab w:val="left" w:pos="2743"/>
          <w:tab w:val="left" w:pos="2744"/>
        </w:tabs>
        <w:spacing w:before="75"/>
        <w:ind w:right="147" w:hanging="361"/>
        <w:jc w:val="both"/>
      </w:pPr>
      <w:r>
        <w:rPr>
          <w:sz w:val="24"/>
        </w:rPr>
        <w:lastRenderedPageBreak/>
        <w:t>Principais instrumentos de direitos humanos: Declaração Universal dos</w:t>
      </w:r>
      <w:r w:rsidR="00B9028B">
        <w:pict>
          <v:group id="_x0000_s1026" style="position:absolute;left:0;text-align:left;margin-left:65.4pt;margin-top:3.65pt;width:90.5pt;height:221.3pt;z-index:15730176;mso-position-horizontal-relative:page;mso-position-vertical-relative:text" coordorigin="1308,73" coordsize="1810,4426">
            <v:shape id="_x0000_s1028" style="position:absolute;left:1308;top:73;width:1810;height:4426" coordorigin="1308,73" coordsize="1810,4426" path="m3118,73r-1810,l1308,3016r,1483l3118,4499r,-1483l3118,73xe" fillcolor="#deeaf6" stroked="f">
              <v:path arrowok="t"/>
            </v:shape>
            <v:shape id="_x0000_s1027" type="#_x0000_t202" style="position:absolute;left:1308;top:73;width:1810;height:4426" filled="f" stroked="f">
              <v:textbox inset="0,0,0,0">
                <w:txbxContent>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rPr>
                        <w:sz w:val="26"/>
                      </w:rPr>
                    </w:pPr>
                  </w:p>
                  <w:p w:rsidR="00DC7045" w:rsidRDefault="00DC7045">
                    <w:pPr>
                      <w:spacing w:before="2"/>
                      <w:rPr>
                        <w:sz w:val="29"/>
                      </w:rPr>
                    </w:pPr>
                  </w:p>
                  <w:p w:rsidR="00DC7045" w:rsidRDefault="00DA4E58">
                    <w:pPr>
                      <w:ind w:left="105"/>
                      <w:rPr>
                        <w:sz w:val="21"/>
                      </w:rPr>
                    </w:pPr>
                    <w:r>
                      <w:rPr>
                        <w:sz w:val="21"/>
                      </w:rPr>
                      <w:t xml:space="preserve">MATERIAL </w:t>
                    </w:r>
                    <w:r>
                      <w:rPr>
                        <w:sz w:val="21"/>
                      </w:rPr>
                      <w:t>DE APOIO</w:t>
                    </w:r>
                  </w:p>
                </w:txbxContent>
              </v:textbox>
            </v:shape>
            <w10:wrap anchorx="page"/>
          </v:group>
        </w:pict>
      </w:r>
      <w:r>
        <w:rPr>
          <w:sz w:val="24"/>
        </w:rPr>
        <w:t xml:space="preserve"> </w:t>
      </w:r>
      <w:r>
        <w:t>Direitos Humanos (DUDH), Pacto Internacional sobre os Direitos Civis e Políticos (PIDCP), Pacto Internacional sobre os Direitos Económicos, Sociais e Culturais (PCDESC), Convenção sobre os Direitos da Criança (CDC), Convenção sobre a Eliminação de Todas as Formas de Discriminação Contra as Mulheres (CEDCM) e outros.</w:t>
      </w:r>
    </w:p>
    <w:p w:rsidR="00DC7045" w:rsidRDefault="00DA4E58">
      <w:pPr>
        <w:pStyle w:val="Paragraphedeliste"/>
        <w:numPr>
          <w:ilvl w:val="0"/>
          <w:numId w:val="1"/>
        </w:numPr>
        <w:tabs>
          <w:tab w:val="left" w:pos="2743"/>
          <w:tab w:val="left" w:pos="2744"/>
        </w:tabs>
        <w:spacing w:before="196"/>
        <w:ind w:hanging="361"/>
        <w:rPr>
          <w:sz w:val="24"/>
        </w:rPr>
      </w:pPr>
      <w:r>
        <w:rPr>
          <w:sz w:val="24"/>
        </w:rPr>
        <w:t>Quadro de ação de Hyogo.</w:t>
      </w:r>
    </w:p>
    <w:p w:rsidR="00DC7045" w:rsidRDefault="00DA4E58">
      <w:pPr>
        <w:pStyle w:val="Paragraphedeliste"/>
        <w:numPr>
          <w:ilvl w:val="0"/>
          <w:numId w:val="1"/>
        </w:numPr>
        <w:tabs>
          <w:tab w:val="left" w:pos="2743"/>
          <w:tab w:val="left" w:pos="2744"/>
        </w:tabs>
        <w:spacing w:before="202"/>
        <w:ind w:hanging="361"/>
        <w:rPr>
          <w:sz w:val="24"/>
        </w:rPr>
      </w:pPr>
      <w:r>
        <w:rPr>
          <w:sz w:val="24"/>
        </w:rPr>
        <w:t>Estatuto de Roma de 1998.</w:t>
      </w:r>
      <w:bookmarkStart w:id="0" w:name="_GoBack"/>
      <w:bookmarkEnd w:id="0"/>
    </w:p>
    <w:p w:rsidR="00DC7045" w:rsidRDefault="00DC7045">
      <w:pPr>
        <w:pStyle w:val="Corpsdetexte"/>
        <w:rPr>
          <w:sz w:val="20"/>
        </w:rPr>
      </w:pPr>
    </w:p>
    <w:p w:rsidR="00DC7045" w:rsidRDefault="00DC7045">
      <w:pPr>
        <w:pStyle w:val="Corpsdetexte"/>
        <w:spacing w:before="4"/>
        <w:rPr>
          <w:sz w:val="28"/>
        </w:rPr>
      </w:pPr>
    </w:p>
    <w:p w:rsidR="00DC7045" w:rsidRDefault="00DA4E58">
      <w:pPr>
        <w:pStyle w:val="Paragraphedeliste"/>
        <w:numPr>
          <w:ilvl w:val="0"/>
          <w:numId w:val="1"/>
        </w:numPr>
        <w:tabs>
          <w:tab w:val="left" w:pos="2743"/>
          <w:tab w:val="left" w:pos="2744"/>
        </w:tabs>
        <w:spacing w:before="101"/>
        <w:ind w:hanging="361"/>
        <w:rPr>
          <w:sz w:val="24"/>
        </w:rPr>
      </w:pPr>
      <w:r>
        <w:rPr>
          <w:sz w:val="24"/>
        </w:rPr>
        <w:t>Serviço consultivo do CICV de 2010 sobre as PDI e o DIH.</w:t>
      </w:r>
    </w:p>
    <w:p w:rsidR="00DC7045" w:rsidRDefault="00DA4E58">
      <w:pPr>
        <w:pStyle w:val="Paragraphedeliste"/>
        <w:numPr>
          <w:ilvl w:val="0"/>
          <w:numId w:val="1"/>
        </w:numPr>
        <w:tabs>
          <w:tab w:val="left" w:pos="2743"/>
          <w:tab w:val="left" w:pos="2744"/>
        </w:tabs>
        <w:ind w:hanging="361"/>
        <w:rPr>
          <w:sz w:val="24"/>
        </w:rPr>
      </w:pPr>
      <w:r>
        <w:rPr>
          <w:sz w:val="24"/>
        </w:rPr>
        <w:t>Tabela sobre os direitos</w:t>
      </w:r>
    </w:p>
    <w:sectPr w:rsidR="00DC7045">
      <w:pgSz w:w="11900" w:h="16820"/>
      <w:pgMar w:top="1340" w:right="1480" w:bottom="280" w:left="12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71B36"/>
    <w:multiLevelType w:val="hybridMultilevel"/>
    <w:tmpl w:val="143E00D2"/>
    <w:lvl w:ilvl="0" w:tplc="B482964E">
      <w:numFmt w:val="bullet"/>
      <w:lvlText w:val=""/>
      <w:lvlJc w:val="left"/>
      <w:pPr>
        <w:ind w:left="2743" w:hanging="360"/>
      </w:pPr>
      <w:rPr>
        <w:rFonts w:ascii="Wingdings" w:eastAsia="Wingdings" w:hAnsi="Wingdings" w:cs="Wingdings" w:hint="default"/>
        <w:color w:val="1F4E79"/>
        <w:w w:val="100"/>
        <w:sz w:val="24"/>
        <w:szCs w:val="24"/>
      </w:rPr>
    </w:lvl>
    <w:lvl w:ilvl="1" w:tplc="A81A9208">
      <w:numFmt w:val="bullet"/>
      <w:lvlText w:val="•"/>
      <w:lvlJc w:val="left"/>
      <w:pPr>
        <w:ind w:left="3388" w:hanging="360"/>
      </w:pPr>
      <w:rPr>
        <w:rFonts w:hint="default"/>
      </w:rPr>
    </w:lvl>
    <w:lvl w:ilvl="2" w:tplc="A5680604">
      <w:numFmt w:val="bullet"/>
      <w:lvlText w:val="•"/>
      <w:lvlJc w:val="left"/>
      <w:pPr>
        <w:ind w:left="4036" w:hanging="360"/>
      </w:pPr>
      <w:rPr>
        <w:rFonts w:hint="default"/>
      </w:rPr>
    </w:lvl>
    <w:lvl w:ilvl="3" w:tplc="330485F6">
      <w:numFmt w:val="bullet"/>
      <w:lvlText w:val="•"/>
      <w:lvlJc w:val="left"/>
      <w:pPr>
        <w:ind w:left="4684" w:hanging="360"/>
      </w:pPr>
      <w:rPr>
        <w:rFonts w:hint="default"/>
      </w:rPr>
    </w:lvl>
    <w:lvl w:ilvl="4" w:tplc="D2963E90">
      <w:numFmt w:val="bullet"/>
      <w:lvlText w:val="•"/>
      <w:lvlJc w:val="left"/>
      <w:pPr>
        <w:ind w:left="5332" w:hanging="360"/>
      </w:pPr>
      <w:rPr>
        <w:rFonts w:hint="default"/>
      </w:rPr>
    </w:lvl>
    <w:lvl w:ilvl="5" w:tplc="71646C70">
      <w:numFmt w:val="bullet"/>
      <w:lvlText w:val="•"/>
      <w:lvlJc w:val="left"/>
      <w:pPr>
        <w:ind w:left="5980" w:hanging="360"/>
      </w:pPr>
      <w:rPr>
        <w:rFonts w:hint="default"/>
      </w:rPr>
    </w:lvl>
    <w:lvl w:ilvl="6" w:tplc="94DC2BC2">
      <w:numFmt w:val="bullet"/>
      <w:lvlText w:val="•"/>
      <w:lvlJc w:val="left"/>
      <w:pPr>
        <w:ind w:left="6628" w:hanging="360"/>
      </w:pPr>
      <w:rPr>
        <w:rFonts w:hint="default"/>
      </w:rPr>
    </w:lvl>
    <w:lvl w:ilvl="7" w:tplc="39340642">
      <w:numFmt w:val="bullet"/>
      <w:lvlText w:val="•"/>
      <w:lvlJc w:val="left"/>
      <w:pPr>
        <w:ind w:left="7276" w:hanging="360"/>
      </w:pPr>
      <w:rPr>
        <w:rFonts w:hint="default"/>
      </w:rPr>
    </w:lvl>
    <w:lvl w:ilvl="8" w:tplc="5060DCC6">
      <w:numFmt w:val="bullet"/>
      <w:lvlText w:val="•"/>
      <w:lvlJc w:val="left"/>
      <w:pPr>
        <w:ind w:left="7924"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DC7045"/>
    <w:rsid w:val="005508D7"/>
    <w:rsid w:val="00B9028B"/>
    <w:rsid w:val="00C458F2"/>
    <w:rsid w:val="00D91C7F"/>
    <w:rsid w:val="00DA4E58"/>
    <w:rsid w:val="00DC7045"/>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shapelayout>
  </w:shapeDefaults>
  <w:decimalSymbol w:val=","/>
  <w:listSeparator w:val=";"/>
  <w14:docId w14:val="62464442"/>
  <w15:docId w15:val="{6C65148C-6145-4396-8FC1-92F66508B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Titre">
    <w:name w:val="Title"/>
    <w:basedOn w:val="Normal"/>
    <w:uiPriority w:val="10"/>
    <w:qFormat/>
    <w:pPr>
      <w:spacing w:before="1"/>
      <w:ind w:left="213"/>
    </w:pPr>
    <w:rPr>
      <w:sz w:val="52"/>
      <w:szCs w:val="52"/>
    </w:rPr>
  </w:style>
  <w:style w:type="paragraph" w:styleId="Paragraphedeliste">
    <w:name w:val="List Paragraph"/>
    <w:basedOn w:val="Normal"/>
    <w:uiPriority w:val="1"/>
    <w:qFormat/>
    <w:pPr>
      <w:spacing w:before="201"/>
      <w:ind w:left="2743"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563</Words>
  <Characters>3100</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Vincent</cp:lastModifiedBy>
  <cp:revision>2</cp:revision>
  <dcterms:created xsi:type="dcterms:W3CDTF">2021-01-20T13:19:00Z</dcterms:created>
  <dcterms:modified xsi:type="dcterms:W3CDTF">2021-01-20T13:19:00Z</dcterms:modified>
</cp:coreProperties>
</file>